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E6" w:rsidRPr="00072B96" w:rsidRDefault="00DD6AE6" w:rsidP="00072B96">
      <w:pPr>
        <w:spacing w:after="0"/>
        <w:jc w:val="center"/>
        <w:rPr>
          <w:b/>
          <w:sz w:val="24"/>
          <w:szCs w:val="24"/>
          <w:highlight w:val="yellow"/>
        </w:rPr>
      </w:pPr>
      <w:bookmarkStart w:id="0" w:name="_GoBack"/>
      <w:bookmarkEnd w:id="0"/>
      <w:r w:rsidRPr="00072B96">
        <w:rPr>
          <w:b/>
          <w:sz w:val="24"/>
          <w:szCs w:val="24"/>
          <w:highlight w:val="yellow"/>
        </w:rPr>
        <w:t>Heading/Page Format:</w:t>
      </w:r>
    </w:p>
    <w:p w:rsidR="00DD6AE6" w:rsidRPr="00072B96" w:rsidRDefault="00DD6AE6" w:rsidP="00DD6AE6">
      <w:pPr>
        <w:spacing w:after="0"/>
        <w:rPr>
          <w:sz w:val="24"/>
          <w:szCs w:val="24"/>
          <w:highlight w:val="yellow"/>
        </w:rPr>
      </w:pPr>
      <w:r w:rsidRPr="00072B96">
        <w:rPr>
          <w:sz w:val="24"/>
          <w:szCs w:val="24"/>
          <w:highlight w:val="yellow"/>
        </w:rPr>
        <w:t xml:space="preserve">1. Appropriate demographics including name of the institution, department name, section </w:t>
      </w:r>
    </w:p>
    <w:p w:rsidR="00DD6AE6" w:rsidRPr="00072B96" w:rsidRDefault="00DD6AE6" w:rsidP="00DD6AE6">
      <w:pPr>
        <w:spacing w:after="0"/>
        <w:rPr>
          <w:sz w:val="24"/>
          <w:szCs w:val="24"/>
          <w:highlight w:val="yellow"/>
        </w:rPr>
      </w:pPr>
      <w:proofErr w:type="gramStart"/>
      <w:r w:rsidRPr="00072B96">
        <w:rPr>
          <w:sz w:val="24"/>
          <w:szCs w:val="24"/>
          <w:highlight w:val="yellow"/>
        </w:rPr>
        <w:t>name</w:t>
      </w:r>
      <w:proofErr w:type="gramEnd"/>
      <w:r w:rsidRPr="00072B96">
        <w:rPr>
          <w:sz w:val="24"/>
          <w:szCs w:val="24"/>
          <w:highlight w:val="yellow"/>
        </w:rPr>
        <w:t xml:space="preserve"> and address. (</w:t>
      </w:r>
      <w:proofErr w:type="gramStart"/>
      <w:r w:rsidRPr="00072B96">
        <w:rPr>
          <w:sz w:val="24"/>
          <w:szCs w:val="24"/>
          <w:highlight w:val="yellow"/>
        </w:rPr>
        <w:t>example</w:t>
      </w:r>
      <w:proofErr w:type="gramEnd"/>
      <w:r w:rsidRPr="00072B96">
        <w:rPr>
          <w:sz w:val="24"/>
          <w:szCs w:val="24"/>
          <w:highlight w:val="yellow"/>
        </w:rPr>
        <w:t xml:space="preserve">: Hospital XYZ, Core Laboratory, Chemistry / Hematology section etc. </w:t>
      </w:r>
    </w:p>
    <w:p w:rsidR="00DD6AE6" w:rsidRPr="00072B96" w:rsidRDefault="00DD6AE6" w:rsidP="00DD6AE6">
      <w:pPr>
        <w:spacing w:after="0"/>
        <w:rPr>
          <w:sz w:val="24"/>
          <w:szCs w:val="24"/>
          <w:highlight w:val="yellow"/>
        </w:rPr>
      </w:pPr>
      <w:r w:rsidRPr="00072B96">
        <w:rPr>
          <w:sz w:val="24"/>
          <w:szCs w:val="24"/>
          <w:highlight w:val="yellow"/>
        </w:rPr>
        <w:t xml:space="preserve">2. Name of individual/author who wrote the procedure </w:t>
      </w:r>
    </w:p>
    <w:p w:rsidR="00DD6AE6" w:rsidRPr="00072B96" w:rsidRDefault="00DD6AE6" w:rsidP="00DD6AE6">
      <w:pPr>
        <w:spacing w:after="0"/>
        <w:rPr>
          <w:sz w:val="24"/>
          <w:szCs w:val="24"/>
          <w:highlight w:val="yellow"/>
        </w:rPr>
      </w:pPr>
      <w:r w:rsidRPr="00072B96">
        <w:rPr>
          <w:sz w:val="24"/>
          <w:szCs w:val="24"/>
          <w:highlight w:val="yellow"/>
        </w:rPr>
        <w:t xml:space="preserve">3. Name of the procedure that the new procedure replaces, when applicable. </w:t>
      </w:r>
    </w:p>
    <w:p w:rsidR="00DD6AE6" w:rsidRPr="00072B96" w:rsidRDefault="00DD6AE6" w:rsidP="00DD6AE6">
      <w:pPr>
        <w:spacing w:after="0"/>
        <w:rPr>
          <w:sz w:val="24"/>
          <w:szCs w:val="24"/>
          <w:highlight w:val="yellow"/>
        </w:rPr>
      </w:pPr>
      <w:r w:rsidRPr="00072B96">
        <w:rPr>
          <w:sz w:val="24"/>
          <w:szCs w:val="24"/>
          <w:highlight w:val="yellow"/>
        </w:rPr>
        <w:t xml:space="preserve">4. Month and year the procedure is adopted. </w:t>
      </w:r>
    </w:p>
    <w:p w:rsidR="00DD6AE6" w:rsidRDefault="00DD6AE6" w:rsidP="00DD6AE6">
      <w:pPr>
        <w:spacing w:after="0"/>
        <w:rPr>
          <w:sz w:val="24"/>
          <w:szCs w:val="24"/>
        </w:rPr>
      </w:pPr>
      <w:r w:rsidRPr="00072B96">
        <w:rPr>
          <w:sz w:val="24"/>
          <w:szCs w:val="24"/>
          <w:highlight w:val="yellow"/>
        </w:rPr>
        <w:t>5. Page number and total number of pages in the document (example: Page 1 of 10)</w:t>
      </w:r>
      <w:r w:rsidRPr="00BD4C4F">
        <w:rPr>
          <w:sz w:val="24"/>
          <w:szCs w:val="24"/>
        </w:rPr>
        <w:t xml:space="preserve"> </w:t>
      </w:r>
    </w:p>
    <w:p w:rsidR="00DD6AE6" w:rsidRPr="00BD4C4F" w:rsidRDefault="00DD6AE6" w:rsidP="00DD6AE6">
      <w:pPr>
        <w:spacing w:after="0"/>
        <w:rPr>
          <w:sz w:val="24"/>
          <w:szCs w:val="24"/>
        </w:rPr>
      </w:pPr>
    </w:p>
    <w:p w:rsidR="00DD6AE6" w:rsidRPr="00BD4C4F" w:rsidRDefault="00DD6AE6" w:rsidP="00BD4C4F">
      <w:pPr>
        <w:spacing w:after="0"/>
        <w:jc w:val="center"/>
        <w:rPr>
          <w:b/>
          <w:caps/>
          <w:sz w:val="28"/>
          <w:szCs w:val="28"/>
        </w:rPr>
      </w:pPr>
      <w:proofErr w:type="gramStart"/>
      <w:r w:rsidRPr="00BD4C4F">
        <w:rPr>
          <w:caps/>
          <w:sz w:val="28"/>
          <w:szCs w:val="28"/>
        </w:rPr>
        <w:t>Bilirubin  in</w:t>
      </w:r>
      <w:proofErr w:type="gramEnd"/>
      <w:r w:rsidRPr="00BD4C4F">
        <w:rPr>
          <w:caps/>
          <w:sz w:val="28"/>
          <w:szCs w:val="28"/>
        </w:rPr>
        <w:t xml:space="preserve"> urine  determination by</w:t>
      </w:r>
      <w:r w:rsidR="00CB3611">
        <w:rPr>
          <w:b/>
          <w:caps/>
          <w:sz w:val="28"/>
          <w:szCs w:val="28"/>
        </w:rPr>
        <w:t xml:space="preserve">  DIAZO-CHE</w:t>
      </w:r>
      <w:r w:rsidRPr="00BD4C4F">
        <w:rPr>
          <w:b/>
          <w:caps/>
          <w:sz w:val="28"/>
          <w:szCs w:val="28"/>
        </w:rPr>
        <w:t xml:space="preserve">K  </w:t>
      </w:r>
      <w:r w:rsidRPr="00BD4C4F">
        <w:rPr>
          <w:caps/>
          <w:sz w:val="28"/>
          <w:szCs w:val="28"/>
        </w:rPr>
        <w:t>(Biorex Labs) method.</w:t>
      </w:r>
    </w:p>
    <w:p w:rsidR="00DD6AE6" w:rsidRPr="00BD4C4F" w:rsidRDefault="00DD6AE6" w:rsidP="00DD6AE6">
      <w:pPr>
        <w:spacing w:after="0"/>
        <w:rPr>
          <w:sz w:val="24"/>
          <w:szCs w:val="24"/>
        </w:rPr>
      </w:pPr>
    </w:p>
    <w:p w:rsidR="00C162B0" w:rsidRPr="00BD4C4F" w:rsidRDefault="00DD6AE6" w:rsidP="00DD6AE6">
      <w:pPr>
        <w:spacing w:after="0"/>
        <w:rPr>
          <w:sz w:val="24"/>
          <w:szCs w:val="24"/>
        </w:rPr>
      </w:pPr>
      <w:r w:rsidRPr="00BD4C4F">
        <w:rPr>
          <w:b/>
          <w:sz w:val="24"/>
          <w:szCs w:val="24"/>
        </w:rPr>
        <w:t>Principle:</w:t>
      </w:r>
      <w:r w:rsidRPr="00BD4C4F">
        <w:rPr>
          <w:sz w:val="24"/>
          <w:szCs w:val="24"/>
        </w:rPr>
        <w:t xml:space="preserve"> </w:t>
      </w:r>
    </w:p>
    <w:p w:rsidR="00C162B0" w:rsidRDefault="00C162B0" w:rsidP="00C162B0">
      <w:pPr>
        <w:spacing w:after="0"/>
        <w:jc w:val="both"/>
        <w:rPr>
          <w:rFonts w:cs="Arial"/>
          <w:sz w:val="24"/>
          <w:szCs w:val="24"/>
        </w:rPr>
      </w:pPr>
      <w:r w:rsidRPr="00BD4C4F">
        <w:rPr>
          <w:rFonts w:cs="Arial"/>
          <w:sz w:val="24"/>
          <w:szCs w:val="24"/>
        </w:rPr>
        <w:t xml:space="preserve">The test is based on the diazo coupling reaction between the adsorbed bilirubin and a stabilized </w:t>
      </w:r>
      <w:proofErr w:type="spellStart"/>
      <w:r w:rsidRPr="00BD4C4F">
        <w:rPr>
          <w:rFonts w:cs="Arial"/>
          <w:sz w:val="24"/>
          <w:szCs w:val="24"/>
        </w:rPr>
        <w:t>diazonium</w:t>
      </w:r>
      <w:proofErr w:type="spellEnd"/>
      <w:r w:rsidRPr="00BD4C4F">
        <w:rPr>
          <w:rFonts w:cs="Arial"/>
          <w:sz w:val="24"/>
          <w:szCs w:val="24"/>
        </w:rPr>
        <w:t xml:space="preserve"> salt of Nitrobenzene. The reaction results in the development of varying grades of purple to bluish-purple color which is easily visible by the naked eye.</w:t>
      </w:r>
    </w:p>
    <w:p w:rsidR="00BD4C4F" w:rsidRPr="00BD4C4F" w:rsidRDefault="00BD4C4F" w:rsidP="00C162B0">
      <w:pPr>
        <w:spacing w:after="0"/>
        <w:jc w:val="both"/>
        <w:rPr>
          <w:rFonts w:cs="Arial"/>
          <w:sz w:val="24"/>
          <w:szCs w:val="24"/>
        </w:rPr>
      </w:pPr>
    </w:p>
    <w:p w:rsidR="00BD4C4F" w:rsidRDefault="00DD6AE6" w:rsidP="00DD6AE6">
      <w:pPr>
        <w:spacing w:after="0"/>
        <w:rPr>
          <w:sz w:val="24"/>
          <w:szCs w:val="24"/>
        </w:rPr>
      </w:pPr>
      <w:r w:rsidRPr="00BD4C4F">
        <w:rPr>
          <w:b/>
          <w:sz w:val="24"/>
          <w:szCs w:val="24"/>
        </w:rPr>
        <w:t>Clinical Significance</w:t>
      </w:r>
      <w:r w:rsidRPr="00BD4C4F">
        <w:rPr>
          <w:sz w:val="24"/>
          <w:szCs w:val="24"/>
        </w:rPr>
        <w:t>:</w:t>
      </w:r>
    </w:p>
    <w:p w:rsidR="00C162B0" w:rsidRPr="00BD4C4F" w:rsidRDefault="00DD6AE6" w:rsidP="00DD6AE6">
      <w:pPr>
        <w:spacing w:after="0"/>
        <w:rPr>
          <w:sz w:val="24"/>
          <w:szCs w:val="24"/>
        </w:rPr>
      </w:pPr>
      <w:r w:rsidRPr="00BD4C4F">
        <w:rPr>
          <w:sz w:val="24"/>
          <w:szCs w:val="24"/>
        </w:rPr>
        <w:t xml:space="preserve"> </w:t>
      </w:r>
      <w:r w:rsidR="00C162B0" w:rsidRPr="00BD4C4F">
        <w:rPr>
          <w:rFonts w:cs="Arial"/>
          <w:sz w:val="24"/>
          <w:szCs w:val="24"/>
        </w:rPr>
        <w:t>The presence of bilirubin in urine implies liver disorder and can be an early feature of obstructive</w:t>
      </w:r>
      <w:r w:rsidR="00CB3611">
        <w:rPr>
          <w:rFonts w:cs="Arial"/>
          <w:sz w:val="24"/>
          <w:szCs w:val="24"/>
        </w:rPr>
        <w:t xml:space="preserve"> hepatobiliary disease. The DIAZO-CHE</w:t>
      </w:r>
      <w:r w:rsidR="00C162B0" w:rsidRPr="00BD4C4F">
        <w:rPr>
          <w:rFonts w:cs="Arial"/>
          <w:sz w:val="24"/>
          <w:szCs w:val="24"/>
        </w:rPr>
        <w:t>K test is indicated to detect small amounts (~0.1 mg/dl or greater) of bilirubin in urine which may appear in the earliest stages of hepatic disease.</w:t>
      </w:r>
    </w:p>
    <w:p w:rsidR="00BD4C4F" w:rsidRDefault="00DD6AE6" w:rsidP="00C162B0">
      <w:pPr>
        <w:pStyle w:val="Heading1"/>
        <w:spacing w:before="0" w:beforeAutospacing="0" w:after="0" w:afterAutospacing="0"/>
        <w:jc w:val="both"/>
        <w:rPr>
          <w:rFonts w:asciiTheme="minorHAnsi" w:hAnsiTheme="minorHAnsi" w:cs="Arial"/>
          <w:b w:val="0"/>
          <w:sz w:val="24"/>
          <w:szCs w:val="24"/>
        </w:rPr>
      </w:pPr>
      <w:r w:rsidRPr="00BD4C4F">
        <w:rPr>
          <w:rFonts w:asciiTheme="minorHAnsi" w:hAnsiTheme="minorHAnsi"/>
          <w:sz w:val="24"/>
          <w:szCs w:val="24"/>
        </w:rPr>
        <w:t>Specimen</w:t>
      </w:r>
      <w:r w:rsidR="00BD4C4F">
        <w:rPr>
          <w:rFonts w:asciiTheme="minorHAnsi" w:hAnsiTheme="minorHAnsi" w:cs="Arial"/>
          <w:b w:val="0"/>
          <w:sz w:val="24"/>
          <w:szCs w:val="24"/>
        </w:rPr>
        <w:t>:</w:t>
      </w:r>
    </w:p>
    <w:p w:rsidR="00C162B0" w:rsidRPr="00BD4C4F" w:rsidRDefault="00BD4C4F" w:rsidP="00C162B0">
      <w:pPr>
        <w:pStyle w:val="Heading1"/>
        <w:spacing w:before="0" w:beforeAutospacing="0" w:after="0" w:afterAutospacing="0"/>
        <w:jc w:val="both"/>
        <w:rPr>
          <w:rFonts w:asciiTheme="minorHAnsi" w:hAnsiTheme="minorHAnsi" w:cs="Arial"/>
          <w:b w:val="0"/>
          <w:sz w:val="24"/>
          <w:szCs w:val="24"/>
        </w:rPr>
      </w:pPr>
      <w:r>
        <w:rPr>
          <w:rFonts w:asciiTheme="minorHAnsi" w:hAnsiTheme="minorHAnsi" w:cs="Arial"/>
          <w:b w:val="0"/>
          <w:sz w:val="24"/>
          <w:szCs w:val="24"/>
        </w:rPr>
        <w:t xml:space="preserve">Freshly passed or refrigerated urine. </w:t>
      </w:r>
      <w:r w:rsidR="00C162B0" w:rsidRPr="00BD4C4F">
        <w:rPr>
          <w:rFonts w:asciiTheme="minorHAnsi" w:hAnsiTheme="minorHAnsi" w:cs="Arial"/>
          <w:b w:val="0"/>
          <w:sz w:val="24"/>
          <w:szCs w:val="24"/>
        </w:rPr>
        <w:t xml:space="preserve"> Bilirubin is a labile molecule and breaks down rapidly once excreted in urine. Since it is particularly sensitive to heat and light, the specimen should be refrigerated for no longer than 4-6 hours if not tested immediately.  </w:t>
      </w:r>
      <w:r w:rsidR="00C162B0" w:rsidRPr="00BD4C4F">
        <w:rPr>
          <w:rFonts w:asciiTheme="minorHAnsi" w:hAnsiTheme="minorHAnsi" w:cs="Arial"/>
          <w:b w:val="0"/>
          <w:sz w:val="24"/>
          <w:szCs w:val="24"/>
          <w:u w:val="single"/>
        </w:rPr>
        <w:t xml:space="preserve">The commonly used </w:t>
      </w:r>
      <w:proofErr w:type="gramStart"/>
      <w:r w:rsidR="00C162B0" w:rsidRPr="00BD4C4F">
        <w:rPr>
          <w:rFonts w:asciiTheme="minorHAnsi" w:hAnsiTheme="minorHAnsi" w:cs="Arial"/>
          <w:b w:val="0"/>
          <w:sz w:val="24"/>
          <w:szCs w:val="24"/>
          <w:u w:val="single"/>
        </w:rPr>
        <w:t>urinary  preservatives</w:t>
      </w:r>
      <w:proofErr w:type="gramEnd"/>
      <w:r w:rsidR="00C162B0" w:rsidRPr="00BD4C4F">
        <w:rPr>
          <w:rFonts w:asciiTheme="minorHAnsi" w:hAnsiTheme="minorHAnsi" w:cs="Arial"/>
          <w:b w:val="0"/>
          <w:sz w:val="24"/>
          <w:szCs w:val="24"/>
          <w:u w:val="single"/>
        </w:rPr>
        <w:t xml:space="preserve"> do not prevent its decomposition</w:t>
      </w:r>
      <w:r w:rsidR="00C162B0" w:rsidRPr="00BD4C4F">
        <w:rPr>
          <w:rFonts w:asciiTheme="minorHAnsi" w:hAnsiTheme="minorHAnsi" w:cs="Arial"/>
          <w:b w:val="0"/>
          <w:sz w:val="24"/>
          <w:szCs w:val="24"/>
        </w:rPr>
        <w:t>.</w:t>
      </w:r>
    </w:p>
    <w:p w:rsidR="00DD6AE6" w:rsidRPr="00BD4C4F" w:rsidRDefault="00DD6AE6" w:rsidP="00DD6AE6">
      <w:pPr>
        <w:spacing w:after="0"/>
        <w:rPr>
          <w:sz w:val="24"/>
          <w:szCs w:val="24"/>
        </w:rPr>
      </w:pPr>
    </w:p>
    <w:p w:rsidR="00DD6AE6" w:rsidRPr="00BD4C4F" w:rsidRDefault="00DD6AE6" w:rsidP="00DD6AE6">
      <w:pPr>
        <w:spacing w:after="0"/>
        <w:rPr>
          <w:sz w:val="24"/>
          <w:szCs w:val="24"/>
        </w:rPr>
      </w:pPr>
      <w:r w:rsidRPr="00BD4C4F">
        <w:rPr>
          <w:b/>
          <w:sz w:val="24"/>
          <w:szCs w:val="24"/>
        </w:rPr>
        <w:t>Reagents</w:t>
      </w:r>
      <w:r w:rsidR="00C162B0" w:rsidRPr="00BD4C4F">
        <w:rPr>
          <w:b/>
          <w:sz w:val="24"/>
          <w:szCs w:val="24"/>
        </w:rPr>
        <w:t xml:space="preserve"> and </w:t>
      </w:r>
      <w:proofErr w:type="gramStart"/>
      <w:r w:rsidR="00C162B0" w:rsidRPr="00BD4C4F">
        <w:rPr>
          <w:b/>
          <w:sz w:val="24"/>
          <w:szCs w:val="24"/>
        </w:rPr>
        <w:t xml:space="preserve">supplies </w:t>
      </w:r>
      <w:r w:rsidR="00C162B0" w:rsidRPr="00BD4C4F">
        <w:rPr>
          <w:sz w:val="24"/>
          <w:szCs w:val="24"/>
        </w:rPr>
        <w:t>:</w:t>
      </w:r>
      <w:proofErr w:type="gramEnd"/>
      <w:r w:rsidR="00C162B0" w:rsidRPr="00BD4C4F">
        <w:rPr>
          <w:sz w:val="24"/>
          <w:szCs w:val="24"/>
        </w:rPr>
        <w:t xml:space="preserve"> </w:t>
      </w:r>
    </w:p>
    <w:p w:rsidR="00C162B0" w:rsidRPr="00BD4C4F" w:rsidRDefault="00C162B0" w:rsidP="00C162B0">
      <w:pPr>
        <w:pStyle w:val="ListParagraph"/>
        <w:numPr>
          <w:ilvl w:val="0"/>
          <w:numId w:val="3"/>
        </w:numPr>
        <w:spacing w:after="0"/>
        <w:rPr>
          <w:sz w:val="24"/>
          <w:szCs w:val="24"/>
        </w:rPr>
      </w:pPr>
      <w:r w:rsidRPr="00BD4C4F">
        <w:rPr>
          <w:sz w:val="24"/>
          <w:szCs w:val="24"/>
        </w:rPr>
        <w:t>Test Pad squares</w:t>
      </w:r>
    </w:p>
    <w:p w:rsidR="00C162B0" w:rsidRPr="00BD4C4F" w:rsidRDefault="00C162B0" w:rsidP="00C162B0">
      <w:pPr>
        <w:pStyle w:val="ListParagraph"/>
        <w:numPr>
          <w:ilvl w:val="0"/>
          <w:numId w:val="3"/>
        </w:numPr>
        <w:spacing w:after="0"/>
        <w:rPr>
          <w:sz w:val="24"/>
          <w:szCs w:val="24"/>
        </w:rPr>
      </w:pPr>
      <w:r w:rsidRPr="00BD4C4F">
        <w:rPr>
          <w:sz w:val="24"/>
          <w:szCs w:val="24"/>
        </w:rPr>
        <w:t>Reagent discs</w:t>
      </w:r>
    </w:p>
    <w:p w:rsidR="00C162B0" w:rsidRPr="00BD4C4F" w:rsidRDefault="00C162B0" w:rsidP="00C162B0">
      <w:pPr>
        <w:pStyle w:val="ListParagraph"/>
        <w:numPr>
          <w:ilvl w:val="0"/>
          <w:numId w:val="3"/>
        </w:numPr>
        <w:spacing w:after="0"/>
        <w:rPr>
          <w:sz w:val="24"/>
          <w:szCs w:val="24"/>
        </w:rPr>
      </w:pPr>
      <w:r w:rsidRPr="00BD4C4F">
        <w:rPr>
          <w:sz w:val="24"/>
          <w:szCs w:val="24"/>
        </w:rPr>
        <w:t>Forceps</w:t>
      </w:r>
    </w:p>
    <w:p w:rsidR="00C162B0" w:rsidRPr="00BD4C4F" w:rsidRDefault="00C162B0" w:rsidP="00C162B0">
      <w:pPr>
        <w:pStyle w:val="ListParagraph"/>
        <w:numPr>
          <w:ilvl w:val="0"/>
          <w:numId w:val="3"/>
        </w:numPr>
        <w:spacing w:after="0"/>
        <w:rPr>
          <w:sz w:val="24"/>
          <w:szCs w:val="24"/>
        </w:rPr>
      </w:pPr>
      <w:r w:rsidRPr="00BD4C4F">
        <w:rPr>
          <w:sz w:val="24"/>
          <w:szCs w:val="24"/>
        </w:rPr>
        <w:t>Reusable micropipettes (to dispense water only)</w:t>
      </w:r>
    </w:p>
    <w:p w:rsidR="00C162B0" w:rsidRPr="00BD4C4F" w:rsidRDefault="00C162B0" w:rsidP="00C162B0">
      <w:pPr>
        <w:pStyle w:val="ListParagraph"/>
        <w:spacing w:after="0"/>
        <w:rPr>
          <w:sz w:val="24"/>
          <w:szCs w:val="24"/>
        </w:rPr>
      </w:pPr>
    </w:p>
    <w:p w:rsidR="00C162B0" w:rsidRDefault="00DD6AE6" w:rsidP="00DD6AE6">
      <w:pPr>
        <w:spacing w:after="0"/>
        <w:rPr>
          <w:sz w:val="24"/>
          <w:szCs w:val="24"/>
        </w:rPr>
      </w:pPr>
      <w:r w:rsidRPr="00BD4C4F">
        <w:rPr>
          <w:b/>
          <w:sz w:val="24"/>
          <w:szCs w:val="24"/>
        </w:rPr>
        <w:t>Quality Control</w:t>
      </w:r>
      <w:r w:rsidRPr="00BD4C4F">
        <w:rPr>
          <w:sz w:val="24"/>
          <w:szCs w:val="24"/>
        </w:rPr>
        <w:t>:</w:t>
      </w:r>
      <w:r w:rsidR="00C162B0" w:rsidRPr="00BD4C4F">
        <w:rPr>
          <w:sz w:val="24"/>
          <w:szCs w:val="24"/>
        </w:rPr>
        <w:t xml:space="preserve"> Perform quality control according to your institutional guidelines. </w:t>
      </w:r>
      <w:r w:rsidR="00072B96">
        <w:rPr>
          <w:sz w:val="24"/>
          <w:szCs w:val="24"/>
        </w:rPr>
        <w:t>At least a</w:t>
      </w:r>
      <w:r w:rsidR="00C162B0" w:rsidRPr="00BD4C4F">
        <w:rPr>
          <w:sz w:val="24"/>
          <w:szCs w:val="24"/>
        </w:rPr>
        <w:t xml:space="preserve"> weekly QC is strongly recommended</w:t>
      </w:r>
      <w:r w:rsidR="00072B96">
        <w:rPr>
          <w:sz w:val="24"/>
          <w:szCs w:val="24"/>
        </w:rPr>
        <w:t>.</w:t>
      </w:r>
    </w:p>
    <w:p w:rsidR="00843E72" w:rsidRDefault="00843E72" w:rsidP="00DD6AE6">
      <w:pPr>
        <w:spacing w:after="0"/>
        <w:rPr>
          <w:sz w:val="24"/>
          <w:szCs w:val="24"/>
        </w:rPr>
      </w:pPr>
    </w:p>
    <w:p w:rsidR="00495427" w:rsidRDefault="00495427" w:rsidP="00DD6AE6">
      <w:pPr>
        <w:spacing w:after="0"/>
        <w:rPr>
          <w:sz w:val="24"/>
          <w:szCs w:val="24"/>
        </w:rPr>
      </w:pPr>
    </w:p>
    <w:p w:rsidR="00843E72" w:rsidRPr="00BD4C4F" w:rsidRDefault="00843E72" w:rsidP="00DD6AE6">
      <w:pPr>
        <w:spacing w:after="0"/>
        <w:rPr>
          <w:sz w:val="24"/>
          <w:szCs w:val="24"/>
        </w:rPr>
      </w:pPr>
    </w:p>
    <w:p w:rsidR="00DD6AE6" w:rsidRPr="00BD4C4F" w:rsidRDefault="00C162B0" w:rsidP="00DD6AE6">
      <w:pPr>
        <w:spacing w:after="0"/>
        <w:rPr>
          <w:b/>
          <w:sz w:val="24"/>
          <w:szCs w:val="24"/>
        </w:rPr>
      </w:pPr>
      <w:r w:rsidRPr="00BD4C4F">
        <w:rPr>
          <w:b/>
          <w:sz w:val="24"/>
          <w:szCs w:val="24"/>
        </w:rPr>
        <w:t>Procedure</w:t>
      </w:r>
      <w:r w:rsidR="00072B96">
        <w:rPr>
          <w:b/>
          <w:sz w:val="24"/>
          <w:szCs w:val="24"/>
        </w:rPr>
        <w:t>:</w:t>
      </w:r>
    </w:p>
    <w:p w:rsidR="00C162B0" w:rsidRPr="00BD4C4F" w:rsidRDefault="00C162B0" w:rsidP="00C162B0">
      <w:pPr>
        <w:pStyle w:val="ListParagraph"/>
        <w:numPr>
          <w:ilvl w:val="0"/>
          <w:numId w:val="4"/>
        </w:numPr>
        <w:spacing w:after="0"/>
        <w:rPr>
          <w:rFonts w:cs="Times New Roman"/>
          <w:sz w:val="24"/>
          <w:szCs w:val="24"/>
        </w:rPr>
      </w:pPr>
      <w:r w:rsidRPr="00BD4C4F">
        <w:rPr>
          <w:rFonts w:cs="Times New Roman"/>
          <w:sz w:val="24"/>
          <w:szCs w:val="24"/>
        </w:rPr>
        <w:t>Place a Test Pad Square (supplied with the kit) on a piece of gauze or paper towel.</w:t>
      </w:r>
    </w:p>
    <w:p w:rsidR="00C162B0" w:rsidRPr="00BD4C4F" w:rsidRDefault="00C162B0" w:rsidP="00C162B0">
      <w:pPr>
        <w:pStyle w:val="ListParagraph"/>
        <w:numPr>
          <w:ilvl w:val="0"/>
          <w:numId w:val="4"/>
        </w:numPr>
        <w:spacing w:after="0"/>
        <w:rPr>
          <w:rFonts w:cs="Times New Roman"/>
          <w:sz w:val="24"/>
          <w:szCs w:val="24"/>
        </w:rPr>
      </w:pPr>
      <w:r w:rsidRPr="00BD4C4F">
        <w:rPr>
          <w:rFonts w:cs="Times New Roman"/>
          <w:sz w:val="24"/>
          <w:szCs w:val="24"/>
        </w:rPr>
        <w:t>Gradually place 4 drops of urine onto the center of the square using a disposable transfer pipette.</w:t>
      </w:r>
    </w:p>
    <w:p w:rsidR="00C162B0" w:rsidRPr="00BD4C4F" w:rsidRDefault="00C162B0" w:rsidP="00C162B0">
      <w:pPr>
        <w:pStyle w:val="ListParagraph"/>
        <w:numPr>
          <w:ilvl w:val="0"/>
          <w:numId w:val="4"/>
        </w:numPr>
        <w:spacing w:after="0"/>
        <w:rPr>
          <w:rFonts w:cs="Times New Roman"/>
          <w:sz w:val="24"/>
          <w:szCs w:val="24"/>
        </w:rPr>
      </w:pPr>
      <w:r w:rsidRPr="00BD4C4F">
        <w:rPr>
          <w:rFonts w:cs="Times New Roman"/>
          <w:sz w:val="24"/>
          <w:szCs w:val="24"/>
          <w:u w:val="single"/>
        </w:rPr>
        <w:t>With a forceps</w:t>
      </w:r>
      <w:r w:rsidRPr="00BD4C4F">
        <w:rPr>
          <w:rFonts w:cs="Times New Roman"/>
          <w:sz w:val="24"/>
          <w:szCs w:val="24"/>
        </w:rPr>
        <w:t xml:space="preserve"> remove reagent disc from the jar and place it in the center of the moistened test pad square. Recap the discs jar promptly and securely.</w:t>
      </w:r>
    </w:p>
    <w:p w:rsidR="00C162B0" w:rsidRDefault="00C162B0" w:rsidP="00DD6AE6">
      <w:pPr>
        <w:pStyle w:val="ListParagraph"/>
        <w:numPr>
          <w:ilvl w:val="0"/>
          <w:numId w:val="4"/>
        </w:numPr>
        <w:spacing w:after="0"/>
        <w:rPr>
          <w:rFonts w:cs="Times New Roman"/>
          <w:sz w:val="24"/>
          <w:szCs w:val="24"/>
        </w:rPr>
      </w:pPr>
      <w:r w:rsidRPr="00BD4C4F">
        <w:rPr>
          <w:rFonts w:cs="Times New Roman"/>
          <w:sz w:val="24"/>
          <w:szCs w:val="24"/>
        </w:rPr>
        <w:t xml:space="preserve">With a plastic micropipette (provided) </w:t>
      </w:r>
      <w:r w:rsidRPr="00BD4C4F">
        <w:rPr>
          <w:rFonts w:cs="Times New Roman"/>
          <w:sz w:val="24"/>
          <w:szCs w:val="24"/>
          <w:u w:val="single"/>
        </w:rPr>
        <w:t>gradually</w:t>
      </w:r>
      <w:r w:rsidRPr="00BD4C4F">
        <w:rPr>
          <w:rFonts w:cs="Times New Roman"/>
          <w:sz w:val="24"/>
          <w:szCs w:val="24"/>
        </w:rPr>
        <w:t xml:space="preserve"> </w:t>
      </w:r>
      <w:r w:rsidR="006F019C">
        <w:rPr>
          <w:rFonts w:cs="Times New Roman"/>
          <w:sz w:val="24"/>
          <w:szCs w:val="24"/>
        </w:rPr>
        <w:t xml:space="preserve">(wait a couple of seconds between the drops) </w:t>
      </w:r>
      <w:r w:rsidRPr="00BD4C4F">
        <w:rPr>
          <w:rFonts w:cs="Times New Roman"/>
          <w:sz w:val="24"/>
          <w:szCs w:val="24"/>
        </w:rPr>
        <w:t xml:space="preserve">add two drops of distilled water (~ 20-25 </w:t>
      </w:r>
      <w:r w:rsidR="00072B96" w:rsidRPr="00072B96">
        <w:rPr>
          <w:rFonts w:ascii="Symbol" w:hAnsi="Symbol" w:cs="Times New Roman"/>
          <w:sz w:val="24"/>
          <w:szCs w:val="24"/>
        </w:rPr>
        <w:t></w:t>
      </w:r>
      <w:r w:rsidR="00072B96">
        <w:rPr>
          <w:rFonts w:cs="Times New Roman"/>
          <w:sz w:val="24"/>
          <w:szCs w:val="24"/>
        </w:rPr>
        <w:t>l</w:t>
      </w:r>
      <w:r w:rsidRPr="00BD4C4F">
        <w:rPr>
          <w:rFonts w:cs="Times New Roman"/>
          <w:sz w:val="24"/>
          <w:szCs w:val="24"/>
        </w:rPr>
        <w:t xml:space="preserve"> each) onto the disc</w:t>
      </w:r>
      <w:r w:rsidR="006F019C">
        <w:rPr>
          <w:rFonts w:cs="Times New Roman"/>
          <w:sz w:val="24"/>
          <w:szCs w:val="24"/>
        </w:rPr>
        <w:t xml:space="preserve"> (micropipettes provided in the kit)</w:t>
      </w:r>
      <w:r w:rsidRPr="00BD4C4F">
        <w:rPr>
          <w:rFonts w:cs="Times New Roman"/>
          <w:sz w:val="24"/>
          <w:szCs w:val="24"/>
        </w:rPr>
        <w:t>.</w:t>
      </w:r>
    </w:p>
    <w:p w:rsidR="00072B96" w:rsidRPr="00BD4C4F" w:rsidRDefault="00072B96" w:rsidP="00DD6AE6">
      <w:pPr>
        <w:pStyle w:val="ListParagraph"/>
        <w:numPr>
          <w:ilvl w:val="0"/>
          <w:numId w:val="4"/>
        </w:numPr>
        <w:spacing w:after="0"/>
        <w:rPr>
          <w:rFonts w:cs="Times New Roman"/>
          <w:sz w:val="24"/>
          <w:szCs w:val="24"/>
        </w:rPr>
      </w:pPr>
      <w:r>
        <w:rPr>
          <w:rFonts w:cs="Times New Roman"/>
          <w:sz w:val="24"/>
          <w:szCs w:val="24"/>
        </w:rPr>
        <w:t>Read the results at 60 seconds; use a timer.</w:t>
      </w:r>
    </w:p>
    <w:p w:rsidR="00C162B0" w:rsidRPr="00BD4C4F" w:rsidRDefault="00C162B0" w:rsidP="00DD6AE6">
      <w:pPr>
        <w:spacing w:after="0"/>
        <w:rPr>
          <w:b/>
          <w:sz w:val="24"/>
          <w:szCs w:val="24"/>
        </w:rPr>
      </w:pPr>
    </w:p>
    <w:p w:rsidR="00C162B0" w:rsidRPr="00BD4C4F" w:rsidRDefault="00DD6AE6" w:rsidP="00DD6AE6">
      <w:pPr>
        <w:spacing w:after="0"/>
        <w:rPr>
          <w:b/>
          <w:sz w:val="24"/>
          <w:szCs w:val="24"/>
        </w:rPr>
      </w:pPr>
      <w:r w:rsidRPr="00BD4C4F">
        <w:rPr>
          <w:b/>
          <w:sz w:val="24"/>
          <w:szCs w:val="24"/>
        </w:rPr>
        <w:t>Reporting Results</w:t>
      </w:r>
      <w:r w:rsidR="00C162B0" w:rsidRPr="00BD4C4F">
        <w:rPr>
          <w:b/>
          <w:sz w:val="24"/>
          <w:szCs w:val="24"/>
        </w:rPr>
        <w:t>:</w:t>
      </w:r>
    </w:p>
    <w:p w:rsidR="00072B96" w:rsidRDefault="00C162B0" w:rsidP="00DD6AE6">
      <w:pPr>
        <w:spacing w:after="0"/>
        <w:rPr>
          <w:rFonts w:cs="Times New Roman"/>
          <w:sz w:val="24"/>
          <w:szCs w:val="24"/>
        </w:rPr>
      </w:pPr>
      <w:r w:rsidRPr="00BD4C4F">
        <w:rPr>
          <w:rFonts w:cs="Times New Roman"/>
          <w:sz w:val="24"/>
          <w:szCs w:val="24"/>
        </w:rPr>
        <w:t xml:space="preserve">If the pathological level of bilirubin is present in the urine specimen a purple color develops around the disc within 60 seconds. The rapidity of the purple color development and its intensity is proportional to the amount of bilirubin present in the specimen. The normal urine contains ~0.02 mg/dl of bilirubin which gives a negative result with </w:t>
      </w:r>
      <w:r w:rsidR="00CB3611">
        <w:rPr>
          <w:rFonts w:cs="Times New Roman"/>
          <w:sz w:val="24"/>
          <w:szCs w:val="24"/>
        </w:rPr>
        <w:t>DIAZO-CHE</w:t>
      </w:r>
      <w:r w:rsidRPr="00BD4C4F">
        <w:rPr>
          <w:rFonts w:cs="Times New Roman"/>
          <w:sz w:val="24"/>
          <w:szCs w:val="24"/>
        </w:rPr>
        <w:t>K method.</w:t>
      </w:r>
      <w:r w:rsidR="00BD4C4F" w:rsidRPr="00BD4C4F">
        <w:rPr>
          <w:rFonts w:cs="Times New Roman"/>
          <w:sz w:val="24"/>
          <w:szCs w:val="24"/>
        </w:rPr>
        <w:t xml:space="preserve"> All colors other than purple or bluish purple should be ignored. A slight pink or red color is also a negative test. </w:t>
      </w:r>
      <w:r w:rsidR="00072B96">
        <w:rPr>
          <w:rFonts w:cs="Times New Roman"/>
          <w:sz w:val="24"/>
          <w:szCs w:val="24"/>
        </w:rPr>
        <w:t xml:space="preserve">A light brown or tan halo is </w:t>
      </w:r>
      <w:proofErr w:type="gramStart"/>
      <w:r w:rsidR="00072B96">
        <w:rPr>
          <w:rFonts w:cs="Times New Roman"/>
          <w:sz w:val="24"/>
          <w:szCs w:val="24"/>
        </w:rPr>
        <w:t>a  negative</w:t>
      </w:r>
      <w:proofErr w:type="gramEnd"/>
      <w:r w:rsidR="00072B96">
        <w:rPr>
          <w:rFonts w:cs="Times New Roman"/>
          <w:sz w:val="24"/>
          <w:szCs w:val="24"/>
        </w:rPr>
        <w:t xml:space="preserve"> test as well.</w:t>
      </w:r>
    </w:p>
    <w:p w:rsidR="00072B96" w:rsidRDefault="00072B96" w:rsidP="00DD6AE6">
      <w:pPr>
        <w:spacing w:after="0"/>
        <w:rPr>
          <w:rFonts w:cs="Times New Roman"/>
          <w:sz w:val="24"/>
          <w:szCs w:val="24"/>
        </w:rPr>
      </w:pPr>
      <w:r>
        <w:rPr>
          <w:rFonts w:cs="Times New Roman"/>
          <w:sz w:val="24"/>
          <w:szCs w:val="24"/>
        </w:rPr>
        <w:t>Report results as positive or negative</w:t>
      </w:r>
    </w:p>
    <w:p w:rsidR="00DD6AE6" w:rsidRPr="00BD4C4F" w:rsidRDefault="00BD4C4F" w:rsidP="00DD6AE6">
      <w:pPr>
        <w:spacing w:after="0"/>
        <w:rPr>
          <w:b/>
          <w:sz w:val="24"/>
          <w:szCs w:val="24"/>
        </w:rPr>
      </w:pPr>
      <w:r w:rsidRPr="00BD4C4F">
        <w:rPr>
          <w:rFonts w:cs="Times New Roman"/>
          <w:sz w:val="24"/>
          <w:szCs w:val="24"/>
        </w:rPr>
        <w:t xml:space="preserve"> </w:t>
      </w:r>
    </w:p>
    <w:p w:rsidR="00C162B0" w:rsidRPr="00BD4C4F" w:rsidRDefault="00BD4C4F" w:rsidP="00DD6AE6">
      <w:pPr>
        <w:spacing w:after="0"/>
        <w:rPr>
          <w:b/>
          <w:sz w:val="24"/>
          <w:szCs w:val="24"/>
        </w:rPr>
      </w:pPr>
      <w:r w:rsidRPr="00BD4C4F">
        <w:rPr>
          <w:b/>
          <w:noProof/>
          <w:sz w:val="24"/>
          <w:szCs w:val="24"/>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26035</wp:posOffset>
            </wp:positionV>
            <wp:extent cx="1543050" cy="676275"/>
            <wp:effectExtent l="19050" t="0" r="0" b="0"/>
            <wp:wrapNone/>
            <wp:docPr id="1" name="Picture 2" descr="C:\Users\Muneer\Pictures\2002-12-31 002\P101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eer\Pictures\2002-12-31 002\P1010053.JPG"/>
                    <pic:cNvPicPr>
                      <a:picLocks noChangeAspect="1" noChangeArrowheads="1"/>
                    </pic:cNvPicPr>
                  </pic:nvPicPr>
                  <pic:blipFill>
                    <a:blip r:embed="rId5" cstate="print"/>
                    <a:srcRect/>
                    <a:stretch>
                      <a:fillRect/>
                    </a:stretch>
                  </pic:blipFill>
                  <pic:spPr bwMode="auto">
                    <a:xfrm>
                      <a:off x="0" y="0"/>
                      <a:ext cx="1543050" cy="676275"/>
                    </a:xfrm>
                    <a:prstGeom prst="rect">
                      <a:avLst/>
                    </a:prstGeom>
                    <a:noFill/>
                    <a:ln w="9525">
                      <a:noFill/>
                      <a:miter lim="800000"/>
                      <a:headEnd/>
                      <a:tailEnd/>
                    </a:ln>
                  </pic:spPr>
                </pic:pic>
              </a:graphicData>
            </a:graphic>
          </wp:anchor>
        </w:drawing>
      </w:r>
    </w:p>
    <w:p w:rsidR="00C162B0" w:rsidRPr="00BD4C4F" w:rsidRDefault="00C162B0" w:rsidP="00DD6AE6">
      <w:pPr>
        <w:spacing w:after="0"/>
        <w:rPr>
          <w:b/>
          <w:sz w:val="24"/>
          <w:szCs w:val="24"/>
        </w:rPr>
      </w:pPr>
    </w:p>
    <w:p w:rsidR="00BD4C4F" w:rsidRPr="00BD4C4F" w:rsidRDefault="00BD4C4F" w:rsidP="00DD6AE6">
      <w:pPr>
        <w:spacing w:after="0"/>
        <w:rPr>
          <w:b/>
          <w:sz w:val="24"/>
          <w:szCs w:val="24"/>
        </w:rPr>
      </w:pPr>
    </w:p>
    <w:p w:rsidR="00C162B0" w:rsidRPr="00BD4C4F" w:rsidRDefault="00C162B0" w:rsidP="00DD6AE6">
      <w:pPr>
        <w:spacing w:after="0"/>
        <w:rPr>
          <w:b/>
          <w:sz w:val="24"/>
          <w:szCs w:val="24"/>
        </w:rPr>
      </w:pPr>
    </w:p>
    <w:p w:rsidR="00BD4C4F" w:rsidRPr="00BD4C4F" w:rsidRDefault="00BD4C4F" w:rsidP="00BD4C4F">
      <w:pPr>
        <w:pStyle w:val="Heading1"/>
        <w:spacing w:before="0" w:beforeAutospacing="0" w:after="0" w:afterAutospacing="0"/>
        <w:rPr>
          <w:rFonts w:asciiTheme="minorHAnsi" w:hAnsiTheme="minorHAnsi" w:cs="Arial"/>
          <w:sz w:val="24"/>
          <w:szCs w:val="24"/>
        </w:rPr>
      </w:pPr>
      <w:r w:rsidRPr="00BD4C4F">
        <w:rPr>
          <w:rFonts w:asciiTheme="minorHAnsi" w:hAnsiTheme="minorHAnsi" w:cs="Arial"/>
          <w:sz w:val="24"/>
          <w:szCs w:val="24"/>
        </w:rPr>
        <w:t xml:space="preserve">                                    Two representative positive test results for </w:t>
      </w:r>
      <w:proofErr w:type="gramStart"/>
      <w:r w:rsidRPr="00BD4C4F">
        <w:rPr>
          <w:rFonts w:asciiTheme="minorHAnsi" w:hAnsiTheme="minorHAnsi" w:cs="Arial"/>
          <w:sz w:val="24"/>
          <w:szCs w:val="24"/>
        </w:rPr>
        <w:t>urine  bilirubin</w:t>
      </w:r>
      <w:proofErr w:type="gramEnd"/>
      <w:r w:rsidRPr="00BD4C4F">
        <w:rPr>
          <w:rFonts w:asciiTheme="minorHAnsi" w:hAnsiTheme="minorHAnsi" w:cs="Arial"/>
          <w:sz w:val="24"/>
          <w:szCs w:val="24"/>
        </w:rPr>
        <w:t>.</w:t>
      </w:r>
    </w:p>
    <w:p w:rsidR="00C162B0" w:rsidRPr="00BD4C4F" w:rsidRDefault="00C162B0" w:rsidP="00DD6AE6">
      <w:pPr>
        <w:spacing w:after="0"/>
        <w:rPr>
          <w:b/>
          <w:sz w:val="24"/>
          <w:szCs w:val="24"/>
        </w:rPr>
      </w:pPr>
    </w:p>
    <w:p w:rsidR="00DD6AE6" w:rsidRPr="0031218D" w:rsidRDefault="00DD6AE6" w:rsidP="00BD4C4F">
      <w:pPr>
        <w:spacing w:after="0"/>
        <w:rPr>
          <w:rFonts w:cs="Times New Roman"/>
          <w:b/>
          <w:sz w:val="24"/>
          <w:szCs w:val="24"/>
        </w:rPr>
      </w:pPr>
      <w:r w:rsidRPr="00BD4C4F">
        <w:rPr>
          <w:b/>
          <w:sz w:val="24"/>
          <w:szCs w:val="24"/>
        </w:rPr>
        <w:t>Limitations</w:t>
      </w:r>
      <w:r w:rsidR="00BD4C4F" w:rsidRPr="00BD4C4F">
        <w:rPr>
          <w:b/>
          <w:sz w:val="24"/>
          <w:szCs w:val="24"/>
        </w:rPr>
        <w:t xml:space="preserve">: </w:t>
      </w:r>
      <w:proofErr w:type="spellStart"/>
      <w:r w:rsidR="00BD4C4F" w:rsidRPr="00BD4C4F">
        <w:rPr>
          <w:rFonts w:cs="Times New Roman"/>
          <w:sz w:val="24"/>
          <w:szCs w:val="24"/>
        </w:rPr>
        <w:t>Chloropromazine</w:t>
      </w:r>
      <w:proofErr w:type="spellEnd"/>
      <w:r w:rsidR="00BD4C4F" w:rsidRPr="00BD4C4F">
        <w:rPr>
          <w:rFonts w:cs="Times New Roman"/>
          <w:sz w:val="24"/>
          <w:szCs w:val="24"/>
        </w:rPr>
        <w:t xml:space="preserve"> and </w:t>
      </w:r>
      <w:proofErr w:type="spellStart"/>
      <w:r w:rsidR="00BD4C4F" w:rsidRPr="00BD4C4F">
        <w:rPr>
          <w:rFonts w:cs="Times New Roman"/>
          <w:sz w:val="24"/>
          <w:szCs w:val="24"/>
        </w:rPr>
        <w:t>Etodolac</w:t>
      </w:r>
      <w:proofErr w:type="spellEnd"/>
      <w:r w:rsidR="00BD4C4F" w:rsidRPr="00BD4C4F">
        <w:rPr>
          <w:rFonts w:cs="Times New Roman"/>
          <w:sz w:val="24"/>
          <w:szCs w:val="24"/>
        </w:rPr>
        <w:t xml:space="preserve"> (NSAID) metabolites in urine may cause unusual or false positive results. Metabolites of </w:t>
      </w:r>
      <w:proofErr w:type="spellStart"/>
      <w:r w:rsidR="00BD4C4F" w:rsidRPr="00BD4C4F">
        <w:rPr>
          <w:rFonts w:cs="Times New Roman"/>
          <w:sz w:val="24"/>
          <w:szCs w:val="24"/>
        </w:rPr>
        <w:t>Phenazopyridine</w:t>
      </w:r>
      <w:proofErr w:type="spellEnd"/>
      <w:r w:rsidR="00BD4C4F" w:rsidRPr="00BD4C4F">
        <w:rPr>
          <w:rFonts w:cs="Times New Roman"/>
          <w:sz w:val="24"/>
          <w:szCs w:val="24"/>
        </w:rPr>
        <w:t xml:space="preserve"> produce bright orange color urine and may</w:t>
      </w:r>
      <w:r w:rsidR="0031218D">
        <w:rPr>
          <w:rFonts w:cs="Times New Roman"/>
          <w:b/>
          <w:sz w:val="24"/>
          <w:szCs w:val="24"/>
        </w:rPr>
        <w:t xml:space="preserve"> </w:t>
      </w:r>
      <w:r w:rsidR="00BD4C4F" w:rsidRPr="00BD4C4F">
        <w:rPr>
          <w:rFonts w:cs="Times New Roman"/>
          <w:sz w:val="24"/>
          <w:szCs w:val="24"/>
        </w:rPr>
        <w:t>mask the color from small amounts of bilirubin present in the urine.</w:t>
      </w:r>
    </w:p>
    <w:p w:rsidR="00BD4C4F" w:rsidRPr="00BD4C4F" w:rsidRDefault="00BD4C4F" w:rsidP="00BD4C4F">
      <w:pPr>
        <w:spacing w:after="0"/>
        <w:rPr>
          <w:b/>
          <w:sz w:val="24"/>
          <w:szCs w:val="24"/>
        </w:rPr>
      </w:pPr>
    </w:p>
    <w:p w:rsidR="00BD4C4F" w:rsidRPr="00BD4C4F" w:rsidRDefault="00DD6AE6" w:rsidP="00BD4C4F">
      <w:pPr>
        <w:spacing w:after="0"/>
        <w:rPr>
          <w:b/>
          <w:sz w:val="24"/>
          <w:szCs w:val="24"/>
        </w:rPr>
      </w:pPr>
      <w:r w:rsidRPr="00BD4C4F">
        <w:rPr>
          <w:b/>
          <w:sz w:val="24"/>
          <w:szCs w:val="24"/>
        </w:rPr>
        <w:t xml:space="preserve">References: </w:t>
      </w:r>
    </w:p>
    <w:p w:rsidR="00BD4C4F" w:rsidRPr="00BD4C4F" w:rsidRDefault="00BD4C4F" w:rsidP="00BD4C4F">
      <w:pPr>
        <w:spacing w:after="0"/>
        <w:rPr>
          <w:sz w:val="18"/>
          <w:szCs w:val="18"/>
        </w:rPr>
      </w:pPr>
      <w:r w:rsidRPr="00BD4C4F">
        <w:rPr>
          <w:sz w:val="18"/>
          <w:szCs w:val="18"/>
        </w:rPr>
        <w:t>Product insert,</w:t>
      </w:r>
      <w:r w:rsidR="002C50C8">
        <w:rPr>
          <w:sz w:val="18"/>
          <w:szCs w:val="18"/>
        </w:rPr>
        <w:t xml:space="preserve"> DIAZO</w:t>
      </w:r>
      <w:r w:rsidR="00CB3611">
        <w:rPr>
          <w:sz w:val="18"/>
          <w:szCs w:val="18"/>
        </w:rPr>
        <w:t>-CHE</w:t>
      </w:r>
      <w:r w:rsidRPr="00BD4C4F">
        <w:rPr>
          <w:sz w:val="18"/>
          <w:szCs w:val="18"/>
        </w:rPr>
        <w:t xml:space="preserve">K test, </w:t>
      </w:r>
      <w:proofErr w:type="spellStart"/>
      <w:r w:rsidRPr="00BD4C4F">
        <w:rPr>
          <w:sz w:val="18"/>
          <w:szCs w:val="18"/>
        </w:rPr>
        <w:t>Biorex</w:t>
      </w:r>
      <w:proofErr w:type="spellEnd"/>
      <w:r w:rsidRPr="00BD4C4F">
        <w:rPr>
          <w:sz w:val="18"/>
          <w:szCs w:val="18"/>
        </w:rPr>
        <w:t xml:space="preserve"> Labs, Cleveland, Ohio</w:t>
      </w:r>
    </w:p>
    <w:p w:rsidR="00BD4C4F" w:rsidRPr="00BD4C4F" w:rsidRDefault="00BD4C4F" w:rsidP="00BD4C4F">
      <w:pPr>
        <w:spacing w:after="0"/>
        <w:rPr>
          <w:rFonts w:cs="Helvetica"/>
          <w:sz w:val="18"/>
          <w:szCs w:val="18"/>
        </w:rPr>
      </w:pPr>
      <w:r w:rsidRPr="00BD4C4F">
        <w:rPr>
          <w:rFonts w:cs="Helvetica"/>
          <w:sz w:val="18"/>
          <w:szCs w:val="18"/>
        </w:rPr>
        <w:t>Free AH, Free HM. Rapid convenience urine tests: their use and misuse. Lab Med</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1978</w:t>
      </w:r>
      <w:proofErr w:type="gramStart"/>
      <w:r w:rsidRPr="00BD4C4F">
        <w:rPr>
          <w:rFonts w:cs="Helvetica"/>
          <w:sz w:val="18"/>
          <w:szCs w:val="18"/>
        </w:rPr>
        <w:t>;9</w:t>
      </w:r>
      <w:proofErr w:type="gramEnd"/>
      <w:r w:rsidRPr="00BD4C4F">
        <w:rPr>
          <w:rFonts w:cs="Helvetica"/>
          <w:sz w:val="18"/>
          <w:szCs w:val="18"/>
        </w:rPr>
        <w:t>(12):9–17.</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 xml:space="preserve">Lillian </w:t>
      </w:r>
      <w:proofErr w:type="spellStart"/>
      <w:r w:rsidRPr="00BD4C4F">
        <w:rPr>
          <w:rFonts w:cs="Helvetica"/>
          <w:sz w:val="18"/>
          <w:szCs w:val="18"/>
        </w:rPr>
        <w:t>Mundt</w:t>
      </w:r>
      <w:proofErr w:type="spellEnd"/>
      <w:r w:rsidRPr="00BD4C4F">
        <w:rPr>
          <w:rFonts w:cs="Helvetica"/>
          <w:sz w:val="18"/>
          <w:szCs w:val="18"/>
        </w:rPr>
        <w:t xml:space="preserve">, Kristy Shanahan MS </w:t>
      </w:r>
      <w:proofErr w:type="gramStart"/>
      <w:r w:rsidRPr="00BD4C4F">
        <w:rPr>
          <w:rFonts w:cs="Helvetica"/>
          <w:sz w:val="18"/>
          <w:szCs w:val="18"/>
        </w:rPr>
        <w:t>MT(</w:t>
      </w:r>
      <w:proofErr w:type="gramEnd"/>
      <w:r w:rsidRPr="00BD4C4F">
        <w:rPr>
          <w:rFonts w:cs="Helvetica"/>
          <w:sz w:val="18"/>
          <w:szCs w:val="18"/>
        </w:rPr>
        <w:t>ASCP) Graff's Textbook of Urinalysis and Body</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Fluids 2nd edition p. 45-47; Lippincott Williams &amp; Wilkins; 2010</w:t>
      </w:r>
    </w:p>
    <w:p w:rsidR="00BD4C4F" w:rsidRPr="00BD4C4F" w:rsidRDefault="00BD4C4F" w:rsidP="00BD4C4F">
      <w:pPr>
        <w:autoSpaceDE w:val="0"/>
        <w:autoSpaceDN w:val="0"/>
        <w:adjustRightInd w:val="0"/>
        <w:spacing w:after="0" w:line="240" w:lineRule="auto"/>
        <w:rPr>
          <w:rFonts w:cs="Helvetica"/>
          <w:sz w:val="18"/>
          <w:szCs w:val="18"/>
        </w:rPr>
      </w:pPr>
      <w:proofErr w:type="spellStart"/>
      <w:r w:rsidRPr="00BD4C4F">
        <w:rPr>
          <w:rFonts w:cs="Helvetica"/>
          <w:sz w:val="18"/>
          <w:szCs w:val="18"/>
        </w:rPr>
        <w:lastRenderedPageBreak/>
        <w:t>Echeverry</w:t>
      </w:r>
      <w:proofErr w:type="spellEnd"/>
      <w:r w:rsidRPr="00BD4C4F">
        <w:rPr>
          <w:rFonts w:cs="Helvetica"/>
          <w:sz w:val="18"/>
          <w:szCs w:val="18"/>
        </w:rPr>
        <w:t xml:space="preserve"> G, </w:t>
      </w:r>
      <w:proofErr w:type="spellStart"/>
      <w:r w:rsidRPr="00BD4C4F">
        <w:rPr>
          <w:rFonts w:cs="Helvetica"/>
          <w:sz w:val="18"/>
          <w:szCs w:val="18"/>
        </w:rPr>
        <w:t>Hortin</w:t>
      </w:r>
      <w:proofErr w:type="spellEnd"/>
      <w:r w:rsidRPr="00BD4C4F">
        <w:rPr>
          <w:rFonts w:cs="Helvetica"/>
          <w:sz w:val="18"/>
          <w:szCs w:val="18"/>
        </w:rPr>
        <w:t xml:space="preserve"> GL, Rai AJ.</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Introduction to urinalysis: historical perspectives and clinical application. Methods Mol Biol.</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2010</w:t>
      </w:r>
      <w:proofErr w:type="gramStart"/>
      <w:r w:rsidRPr="00BD4C4F">
        <w:rPr>
          <w:rFonts w:cs="Helvetica"/>
          <w:sz w:val="18"/>
          <w:szCs w:val="18"/>
        </w:rPr>
        <w:t>;641:1</w:t>
      </w:r>
      <w:proofErr w:type="gramEnd"/>
      <w:r w:rsidRPr="00BD4C4F">
        <w:rPr>
          <w:rFonts w:cs="Helvetica"/>
          <w:sz w:val="18"/>
          <w:szCs w:val="18"/>
        </w:rPr>
        <w:t>-12.</w:t>
      </w:r>
    </w:p>
    <w:p w:rsidR="00BD4C4F" w:rsidRPr="00BD4C4F" w:rsidRDefault="00BD4C4F" w:rsidP="00BD4C4F">
      <w:pPr>
        <w:autoSpaceDE w:val="0"/>
        <w:autoSpaceDN w:val="0"/>
        <w:adjustRightInd w:val="0"/>
        <w:spacing w:after="0" w:line="240" w:lineRule="auto"/>
        <w:rPr>
          <w:rFonts w:cs="Helvetica"/>
          <w:sz w:val="18"/>
          <w:szCs w:val="18"/>
        </w:rPr>
      </w:pPr>
      <w:proofErr w:type="spellStart"/>
      <w:r w:rsidRPr="00BD4C4F">
        <w:rPr>
          <w:rFonts w:cs="Helvetica"/>
          <w:sz w:val="18"/>
          <w:szCs w:val="18"/>
        </w:rPr>
        <w:t>Ghany</w:t>
      </w:r>
      <w:proofErr w:type="spellEnd"/>
      <w:r w:rsidRPr="00BD4C4F">
        <w:rPr>
          <w:rFonts w:cs="Helvetica"/>
          <w:sz w:val="18"/>
          <w:szCs w:val="18"/>
        </w:rPr>
        <w:t xml:space="preserve"> M, Hoofnagle JH; Liver and Biliary Tract Disease; Harrison’s Principles of Internal</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Medicine, 15th Ed, p 1707-11, McGraw Hill Inc. 2001</w:t>
      </w:r>
    </w:p>
    <w:p w:rsidR="00BD4C4F" w:rsidRPr="00BD4C4F" w:rsidRDefault="00BD4C4F" w:rsidP="00BD4C4F">
      <w:pPr>
        <w:autoSpaceDE w:val="0"/>
        <w:autoSpaceDN w:val="0"/>
        <w:adjustRightInd w:val="0"/>
        <w:spacing w:after="0" w:line="240" w:lineRule="auto"/>
        <w:rPr>
          <w:rFonts w:cs="Helvetica"/>
          <w:sz w:val="18"/>
          <w:szCs w:val="18"/>
        </w:rPr>
      </w:pPr>
      <w:r w:rsidRPr="00BD4C4F">
        <w:rPr>
          <w:rFonts w:cs="Helvetica"/>
          <w:sz w:val="18"/>
          <w:szCs w:val="18"/>
        </w:rPr>
        <w:t xml:space="preserve">Roche SP, </w:t>
      </w:r>
      <w:proofErr w:type="spellStart"/>
      <w:r w:rsidRPr="00BD4C4F">
        <w:rPr>
          <w:rFonts w:cs="Helvetica"/>
          <w:sz w:val="18"/>
          <w:szCs w:val="18"/>
        </w:rPr>
        <w:t>Kobos</w:t>
      </w:r>
      <w:proofErr w:type="spellEnd"/>
      <w:r w:rsidRPr="00BD4C4F">
        <w:rPr>
          <w:rFonts w:cs="Helvetica"/>
          <w:sz w:val="18"/>
          <w:szCs w:val="18"/>
        </w:rPr>
        <w:t xml:space="preserve"> R. Jaundice in the adult patient</w:t>
      </w:r>
    </w:p>
    <w:p w:rsidR="00BD4C4F" w:rsidRPr="00BD4C4F" w:rsidRDefault="00BD4C4F" w:rsidP="00BD4C4F">
      <w:pPr>
        <w:spacing w:after="0"/>
        <w:rPr>
          <w:b/>
          <w:sz w:val="18"/>
          <w:szCs w:val="18"/>
        </w:rPr>
      </w:pPr>
      <w:r w:rsidRPr="00BD4C4F">
        <w:rPr>
          <w:rFonts w:cs="Helvetica"/>
          <w:sz w:val="18"/>
          <w:szCs w:val="18"/>
        </w:rPr>
        <w:t xml:space="preserve">Am </w:t>
      </w:r>
      <w:proofErr w:type="gramStart"/>
      <w:r w:rsidRPr="00BD4C4F">
        <w:rPr>
          <w:rFonts w:cs="Helvetica"/>
          <w:sz w:val="18"/>
          <w:szCs w:val="18"/>
        </w:rPr>
        <w:t>Fam</w:t>
      </w:r>
      <w:proofErr w:type="gramEnd"/>
      <w:r w:rsidRPr="00BD4C4F">
        <w:rPr>
          <w:rFonts w:cs="Helvetica"/>
          <w:sz w:val="18"/>
          <w:szCs w:val="18"/>
        </w:rPr>
        <w:t xml:space="preserve"> Physician. 2004 Jan 15</w:t>
      </w:r>
      <w:proofErr w:type="gramStart"/>
      <w:r w:rsidRPr="00BD4C4F">
        <w:rPr>
          <w:rFonts w:cs="Helvetica"/>
          <w:sz w:val="18"/>
          <w:szCs w:val="18"/>
        </w:rPr>
        <w:t>;69</w:t>
      </w:r>
      <w:proofErr w:type="gramEnd"/>
      <w:r w:rsidRPr="00BD4C4F">
        <w:rPr>
          <w:rFonts w:cs="Helvetica"/>
          <w:sz w:val="18"/>
          <w:szCs w:val="18"/>
        </w:rPr>
        <w:t>(2):299-304</w:t>
      </w:r>
    </w:p>
    <w:p w:rsidR="00DD6AE6" w:rsidRPr="00BD4C4F" w:rsidRDefault="00DD6AE6" w:rsidP="00DD6AE6">
      <w:pPr>
        <w:spacing w:after="0"/>
        <w:rPr>
          <w:b/>
          <w:sz w:val="24"/>
          <w:szCs w:val="24"/>
        </w:rPr>
      </w:pPr>
    </w:p>
    <w:p w:rsidR="00BD4C4F" w:rsidRPr="00BD4C4F" w:rsidRDefault="00BD4C4F" w:rsidP="00DD6AE6">
      <w:pPr>
        <w:spacing w:after="0"/>
        <w:rPr>
          <w:b/>
          <w:sz w:val="24"/>
          <w:szCs w:val="24"/>
        </w:rPr>
      </w:pPr>
    </w:p>
    <w:sectPr w:rsidR="00BD4C4F" w:rsidRPr="00BD4C4F" w:rsidSect="00072B9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37BC"/>
    <w:multiLevelType w:val="hybridMultilevel"/>
    <w:tmpl w:val="FE54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96E30"/>
    <w:multiLevelType w:val="hybridMultilevel"/>
    <w:tmpl w:val="65EE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635D8"/>
    <w:multiLevelType w:val="hybridMultilevel"/>
    <w:tmpl w:val="2800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5186B"/>
    <w:multiLevelType w:val="hybridMultilevel"/>
    <w:tmpl w:val="204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E6"/>
    <w:rsid w:val="0006545F"/>
    <w:rsid w:val="00072B96"/>
    <w:rsid w:val="002B4046"/>
    <w:rsid w:val="002C50C8"/>
    <w:rsid w:val="0031218D"/>
    <w:rsid w:val="00495427"/>
    <w:rsid w:val="005640A5"/>
    <w:rsid w:val="006F019C"/>
    <w:rsid w:val="0082462A"/>
    <w:rsid w:val="00843E72"/>
    <w:rsid w:val="009E48E1"/>
    <w:rsid w:val="00B41DBF"/>
    <w:rsid w:val="00BD4C4F"/>
    <w:rsid w:val="00C162B0"/>
    <w:rsid w:val="00CB3611"/>
    <w:rsid w:val="00D5336B"/>
    <w:rsid w:val="00D72435"/>
    <w:rsid w:val="00DD6AE6"/>
    <w:rsid w:val="00E3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76A0C-E7E8-4792-9301-DF913C97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22"/>
  </w:style>
  <w:style w:type="paragraph" w:styleId="Heading1">
    <w:name w:val="heading 1"/>
    <w:basedOn w:val="Normal"/>
    <w:link w:val="Heading1Char"/>
    <w:uiPriority w:val="9"/>
    <w:qFormat/>
    <w:rsid w:val="00C16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E6"/>
    <w:pPr>
      <w:ind w:left="720"/>
      <w:contextualSpacing/>
    </w:pPr>
  </w:style>
  <w:style w:type="character" w:customStyle="1" w:styleId="Heading1Char">
    <w:name w:val="Heading 1 Char"/>
    <w:basedOn w:val="DefaultParagraphFont"/>
    <w:link w:val="Heading1"/>
    <w:uiPriority w:val="9"/>
    <w:rsid w:val="00C162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Muneer</dc:creator>
  <cp:lastModifiedBy>Nicole N Shumate</cp:lastModifiedBy>
  <cp:revision>2</cp:revision>
  <dcterms:created xsi:type="dcterms:W3CDTF">2018-04-13T17:30:00Z</dcterms:created>
  <dcterms:modified xsi:type="dcterms:W3CDTF">2018-04-13T17:30:00Z</dcterms:modified>
</cp:coreProperties>
</file>